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1 - SCHEDA PER L’INDIVIDUAZIONE DEI DOCENTI SOPRANNUMERARI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AL DIRIGENTE SCOLASTICO________________________________</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Il/La sottoscritto/a  ......................................................................  nato/a a ................................................……….. (prov..........)  il ......................................… residente in ……........................................................................................ insegnante                 di ......................................................... (cl. di conc. ..................................................………......) titolare presso la Scuola .....................................…………. di …….....……..............................................………. dall’ a.s. ........………..................... con decorrenza giuridica dal ...…………...........……….........…….. immesso in ruolo ai sensi ..…….......................... con  effettiva assunzione in servizio dal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76.0" w:type="dxa"/>
        <w:jc w:val="left"/>
        <w:tblInd w:w="-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725"/>
        <w:gridCol w:w="567"/>
        <w:gridCol w:w="709"/>
        <w:gridCol w:w="1275"/>
        <w:tblGridChange w:id="0">
          <w:tblGrid>
            <w:gridCol w:w="7725"/>
            <w:gridCol w:w="567"/>
            <w:gridCol w:w="709"/>
            <w:gridCol w:w="1275"/>
          </w:tblGrid>
        </w:tblGridChange>
      </w:tblGrid>
      <w:tr>
        <w:trPr>
          <w:cantSplit w:val="0"/>
          <w:trHeight w:val="216" w:hRule="atLeast"/>
          <w:tblHeader w:val="0"/>
        </w:trPr>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 compilare a cura dell’interessato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Anni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Riservato al Dir. Scol.</w:t>
            </w:r>
            <w:r w:rsidDel="00000000" w:rsidR="00000000" w:rsidRPr="00000000">
              <w:rPr>
                <w:rtl w:val="0"/>
              </w:rPr>
            </w:r>
          </w:p>
        </w:tc>
      </w:tr>
      <w:tr>
        <w:trPr>
          <w:cantSplit w:val="0"/>
          <w:trHeight w:val="312" w:hRule="atLeast"/>
          <w:tblHeader w:val="0"/>
        </w:trPr>
        <w:tc>
          <w:tcPr>
            <w:tcBorders>
              <w:top w:color="000000" w:space="0" w:sz="0" w:val="nil"/>
            </w:tcBorders>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I - ANZIANITÀ DI SERVIZIO:</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per ogni anno di servizio comunque prestato, successivamente alla decorrenza giuridica della nomina, nel ruolo  di  appartenenza(1)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6 )</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A1)  per ogni anno di servizio effettivamente  prestato (2) dopo la nomina nel ruolo  di  appartenenza in scuole o istituti situati nelle piccole isole (3) in aggiunta al punteggio di cui al punto A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6 )</w:t>
            </w:r>
            <w:r w:rsidDel="00000000" w:rsidR="00000000" w:rsidRPr="00000000">
              <w:rPr>
                <w:rtl w:val="0"/>
              </w:rPr>
            </w:r>
          </w:p>
        </w:tc>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per ogni anno di servizio preruolo o di altro servizio di ruolo riconosciuto o  valutato ai fini della carriera o  per ogni anno di servizio preruolo o di altro servizio di  ruolo  prestato  nella  scuola materna (4)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3 )</w:t>
            </w: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3 )</w:t>
            </w: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B2) per  ogni anno  di servizio preruolo o di altro servizio di ruolo riconosciuto o valutato ai fini della  carriera  o  per ogni anno di servizio preruolo o di altro servizio di ruolo  nella scuola materna, effettivamente prestato (2)  in scuole  o  istituti  situati nelle piccole isole (3) e (4) in aggiunta al punteggio  di cui  al punto B) e B1)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3 )</w:t>
            </w: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B3)  (valido solo per la scuola elementare) per ogni anno di servizio di ruolo effettivamente  prestato come "specialista" per l'insegnamento della  lingua straniera dall’anno scolastico 92/93 fino all’anno scolastico 97/98 (in aggiunta  al punteggio  di  cui alle lettere B e B2) rispettivamente: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 il servizio é prestato  nell'ambito del plesso di titolarità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0,5)</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  il servizio é stato prestato al di fuori del plesso di titolarità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w:t>
            </w:r>
            <w:r w:rsidDel="00000000" w:rsidR="00000000" w:rsidRPr="00000000">
              <w:rPr>
                <w:rtl w:val="0"/>
              </w:rPr>
            </w:r>
          </w:p>
        </w:tc>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per ogni anno di servizio di ruolo prestato, senza  soluzione  di  continuità, nella scuola di attuale titolarità (5) (in aggiunta a quello previsto dalle lettere A), A1), B), B1), B2), B3)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entro il quinquennio……………………………………………………..….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2)</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oltre il quinquennio…………………………………………………………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3)</w:t>
            </w:r>
            <w:r w:rsidDel="00000000" w:rsidR="00000000" w:rsidRPr="00000000">
              <w:rPr>
                <w:rtl w:val="0"/>
              </w:rPr>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 per ogni anno di servizio di ruolo prestato, senza soluzione  di  continuità, nella sede di attuale titolarità (5 bis) (in aggiunta a quello previsto dalle lettere A), A1), B), B1),B2),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w:t>
            </w:r>
            <w:r w:rsidDel="00000000" w:rsidR="00000000" w:rsidRPr="00000000">
              <w:rPr>
                <w:rtl w:val="0"/>
              </w:rPr>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 per la sola  scuola elementare: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per il servizio di ruolo effettivamente prestato  per un  solo triennio  senza soluzione   di continuità, a partire dall’anno scolastico 92/93 fino all’anno scolastico 97/98,  come docente "specializzato" per l'insegnamento  della lingua straniera(in aggiunta  a quello previsto dalle lettere A), A1), B), B2), B3), C)………………………………………………………………………….………..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1,5)</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3)</w:t>
            </w:r>
            <w:r w:rsidDel="00000000" w:rsidR="00000000" w:rsidRPr="00000000">
              <w:rPr>
                <w:rtl w:val="0"/>
              </w:rPr>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a coloro che, per un triennio, a decorrere dalle operazioni di mobilità per l’a.s.   2000/2001, non presentano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non abbiano presentato domanda di trasferimento provinciale o passaggio provinciale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o, pur avendo presentato domanda, l’abbiano revocata nei termini previsti,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verrà riconosciuto, dopo il predetto triennio, una tantum, un punteggio aggiuntivo di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10)</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(tale punteggio viene riconosciuto anche a coloro che presentano domanda condizionata, in quanto soprannumerari; la richiesta, nel quinquennio, di rientro nella scuola di precedente titolarità fa maturare regolarmente il predetto punteggio aggiuntivo)</w:t>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II  - ESIGENZE DI FAMIGLIA (6) (7): </w:t>
      </w:r>
      <w:r w:rsidDel="00000000" w:rsidR="00000000" w:rsidRPr="00000000">
        <w:rPr>
          <w:rtl w:val="0"/>
        </w:rPr>
      </w:r>
    </w:p>
    <w:tbl>
      <w:tblPr>
        <w:tblStyle w:val="Table2"/>
        <w:tblW w:w="10330.0" w:type="dxa"/>
        <w:jc w:val="left"/>
        <w:tblInd w:w="-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707"/>
        <w:gridCol w:w="1363"/>
        <w:gridCol w:w="1260"/>
        <w:tblGridChange w:id="0">
          <w:tblGrid>
            <w:gridCol w:w="7707"/>
            <w:gridCol w:w="1363"/>
            <w:gridCol w:w="1260"/>
          </w:tblGrid>
        </w:tblGridChange>
      </w:tblGrid>
      <w:tr>
        <w:trPr>
          <w:cantSplit w:val="0"/>
          <w:trHeight w:val="206" w:hRule="atLeast"/>
          <w:tblHeader w:val="0"/>
        </w:trPr>
        <w:tc>
          <w:tcPr>
            <w:tcBorders>
              <w:top w:color="000000" w:space="0" w:sz="6" w:val="single"/>
              <w:left w:color="000000" w:space="0" w:sz="6" w:val="single"/>
              <w:right w:color="000000" w:space="0" w:sz="6" w:val="single"/>
            </w:tcBorders>
            <w:shd w:fill="dfdfdf" w:val="clea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esigenza</w:t>
            </w:r>
            <w:r w:rsidDel="00000000" w:rsidR="00000000" w:rsidRPr="00000000">
              <w:rPr>
                <w:rtl w:val="0"/>
              </w:rPr>
            </w:r>
          </w:p>
        </w:tc>
        <w:tc>
          <w:tcPr>
            <w:tcBorders>
              <w:top w:color="000000" w:space="0" w:sz="6" w:val="single"/>
              <w:left w:color="000000" w:space="0" w:sz="6" w:val="single"/>
              <w:right w:color="000000" w:space="0" w:sz="6" w:val="single"/>
            </w:tcBorders>
            <w:shd w:fill="dfdfdf" w:val="clear"/>
            <w:vAlign w:val="top"/>
          </w:tcPr>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w:t>
            </w:r>
          </w:p>
        </w:tc>
        <w:tc>
          <w:tcPr>
            <w:tcBorders>
              <w:top w:color="000000" w:space="0" w:sz="6" w:val="single"/>
              <w:left w:color="000000" w:space="0" w:sz="6" w:val="single"/>
              <w:right w:color="000000" w:space="0" w:sz="6" w:val="single"/>
            </w:tcBorders>
            <w:shd w:fill="dfdfdf" w:val="clea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Riservato al Dir. Scol.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per  ricongiungimento  al  coniuge ovvero, nel caso di docenti senza coniuge o  separati giudizialmente o consensualmente  con  atto  omologato dal  tribunale, per ricongiungimento ai genitori o ai figli (7)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6)</w:t>
            </w:r>
            <w:r w:rsidDel="00000000" w:rsidR="00000000" w:rsidRPr="00000000">
              <w:rPr>
                <w:rtl w:val="0"/>
              </w:rPr>
            </w:r>
          </w:p>
        </w:tc>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  per ogni figlio di età inferiore a sei anni (8)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per ogni figlio  di età superiore ai sei anni, ma che non abbia superato il  diciottesimo anno di età (8) ovvero per ogni figlio maggiorenne che risulti totalmente o permanentemente inabile a proficuo lavoro)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3)</w:t>
            </w:r>
            <w:r w:rsidDel="00000000" w:rsidR="00000000" w:rsidRPr="00000000">
              <w:rPr>
                <w:rtl w:val="0"/>
              </w:rPr>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 per la cura e l'assistenza dei figli minorati    fisici,     psichici   o  sensoriali, tossicosi- pendenti, ovvero  del coniuge  o  del genitore  totalmente e permanentemente  inabili  al  lavoro   che   possono  essere assistiti soltanto nel comune richiesto (9)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6)</w:t>
            </w:r>
            <w:r w:rsidDel="00000000" w:rsidR="00000000" w:rsidRPr="00000000">
              <w:rPr>
                <w:rtl w:val="0"/>
              </w:rPr>
            </w:r>
          </w:p>
        </w:tc>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III - TITOLI GENERALI:</w:t>
      </w:r>
      <w:r w:rsidDel="00000000" w:rsidR="00000000" w:rsidRPr="00000000">
        <w:rPr>
          <w:rtl w:val="0"/>
        </w:rPr>
      </w:r>
    </w:p>
    <w:tbl>
      <w:tblPr>
        <w:tblStyle w:val="Table3"/>
        <w:tblW w:w="10330.0" w:type="dxa"/>
        <w:jc w:val="left"/>
        <w:tblInd w:w="-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724"/>
        <w:gridCol w:w="1346"/>
        <w:gridCol w:w="1260"/>
        <w:tblGridChange w:id="0">
          <w:tblGrid>
            <w:gridCol w:w="7724"/>
            <w:gridCol w:w="1346"/>
            <w:gridCol w:w="12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titolo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6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w:t>
            </w:r>
          </w:p>
        </w:tc>
        <w:tc>
          <w:tcPr>
            <w:tcBorders>
              <w:top w:color="000000" w:space="0" w:sz="6" w:val="single"/>
              <w:left w:color="000000" w:space="0" w:sz="6" w:val="single"/>
              <w:bottom w:color="000000" w:space="0" w:sz="6" w:val="single"/>
              <w:right w:color="000000" w:space="0" w:sz="6" w:val="single"/>
            </w:tcBorders>
            <w:shd w:fill="dfdfdf" w:val="clea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Riservato al Dir. Scol.</w:t>
            </w:r>
            <w:r w:rsidDel="00000000" w:rsidR="00000000" w:rsidRPr="00000000">
              <w:rPr>
                <w:rtl w:val="0"/>
              </w:rPr>
            </w:r>
          </w:p>
        </w:tc>
      </w:tr>
      <w:tr>
        <w:trPr>
          <w:cantSplit w:val="0"/>
          <w:trHeight w:val="61" w:hRule="atLeast"/>
          <w:tblHeader w:val="0"/>
        </w:trPr>
        <w:tc>
          <w:tcPr>
            <w:tcBorders>
              <w:top w:color="000000" w:space="0" w:sz="0" w:val="nil"/>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per ogni promozione di merito distinto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3 )</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per il superamento di un pubblico concorso ordinario  per esami e titoli, per l'accesso  al  ruolo  di  appartenenza (in scuole materne,  elementari, secondarie ed artistiche), al momento della presentazione della domanda,  o a ruoli di livello pari o superiore a quello  di appartenenza (10)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12)</w:t>
            </w:r>
            <w:r w:rsidDel="00000000" w:rsidR="00000000" w:rsidRPr="00000000">
              <w:rPr>
                <w:rtl w:val="0"/>
              </w:rPr>
            </w:r>
          </w:p>
        </w:tc>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per ogni diploma di specializzazione conseguita in corsi post-universitari prevista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per ogni diploma …………………………………………………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5)</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è valutabile un solo diploma, per lo stesso o gli stessi anni accademici )</w:t>
            </w:r>
          </w:p>
        </w:tc>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per ogni diploma universitario conseguito oltre al titolo di studio attualmente necessario per l’accesso al ruolo di appartenenza (12)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3)</w:t>
            </w:r>
            <w:r w:rsidDel="00000000" w:rsidR="00000000" w:rsidRPr="00000000">
              <w:rPr>
                <w:rtl w:val="0"/>
              </w:rPr>
            </w:r>
          </w:p>
        </w:tc>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per ogni corso di perfezionamento di durata non inferiore ad un anno, previsto dagli statuti ovvero dal D.P.R. N.162/82, ovvero dalla legge n.341/90 (artt. 4,6,8) attivato dalle università statali o libere ovvero da istituti universitari statali o pareggiati (11), ivi compresi gli istituti  di  educazione fisica  statali  o  pareggiati,  nell'ambito   delle   scienze dell'educazione e/o nell'ambito delle discipline  attualmente insegnate dal docente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per ogni corso………………………………………………………………….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è valutabile un solo corso, per lo stesso o gli stessi anni accademici</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per ogni diploma di laurea, di accademia di belle arti, di conservatorio di musica,  di  istituto  superiore  di  educazione fisica, conseguito   oltre  al  titolo   di  studio   attualmente necessario  per   l'accesso al  ruolo di appartenenza (12)……………………………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5)</w:t>
            </w:r>
            <w:r w:rsidDel="00000000" w:rsidR="00000000" w:rsidRPr="00000000">
              <w:rPr>
                <w:rtl w:val="0"/>
              </w:rPr>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per il conseguimento del titolo  di  "dottorato di ricerca”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5)</w:t>
            </w:r>
            <w:r w:rsidDel="00000000" w:rsidR="00000000" w:rsidRPr="00000000">
              <w:rPr>
                <w:rtl w:val="0"/>
              </w:rPr>
            </w:r>
          </w:p>
        </w:tc>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per la sola  scuola elementare:  per  la frequenza del corso  di  aggiornamento-formazione linguistica e glottodidattica compreso nel piano attuato dal ministero,  con la collaborazione  degli Uffici scolastici provinciali,  delle istituzioni  scolastiche,  degli istituti di  ricerca  (IRRSAE, CEDE, BDP) e  dell'università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1)</w:t>
            </w:r>
            <w:r w:rsidDel="00000000" w:rsidR="00000000" w:rsidRPr="00000000">
              <w:rPr>
                <w:rtl w:val="0"/>
              </w:rPr>
            </w:r>
          </w:p>
        </w:tc>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 titoli relativi a  C), D), E), F),  G), H) anche c</w:t>
            </w:r>
            <w:r w:rsidDel="00000000" w:rsidR="00000000" w:rsidRPr="00000000">
              <w:rPr>
                <w:rFonts w:ascii="Times New Roman" w:cs="Times New Roman" w:eastAsia="Times New Roman" w:hAnsi="Times New Roman"/>
                <w:b w:val="1"/>
                <w:rtl w:val="0"/>
              </w:rPr>
              <w:t xml:space="preserve">u</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mulabili  tra di loro, sono valutati  fino ad un massimo di   punti  10</w:t>
            </w:r>
            <w:r w:rsidDel="00000000" w:rsidR="00000000" w:rsidRPr="00000000">
              <w:rPr>
                <w:rtl w:val="0"/>
              </w:rPr>
            </w:r>
          </w:p>
        </w:tc>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per ogni partecipazione ai nuovi esami di stato conclusivi dei corsi di studio di istruzione secondaria superiore di cui alla legge 10/12/97 n°425 e al D.P.R. 23.7.1998 n.323,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fino all’anno scolastico 2000/2001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qualità di presidente di commissione o di componente esterno o di componente interno, compresa l’attività svolta dal docente di sostegno all’alunno handicappato che sostiene  l’esame………………………..………………………...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1)</w:t>
            </w:r>
            <w:r w:rsidDel="00000000" w:rsidR="00000000" w:rsidRPr="00000000">
              <w:rPr>
                <w:rtl w:val="0"/>
              </w:rPr>
            </w:r>
          </w:p>
        </w:tc>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 allega una dichiarazione, conforme agli all. D), F) e i seguenti documenti attestanti il possesso dei titoli di cui ai punti II (esigenze di famiglia) e III (titoli generali):</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                                                           firma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NOTE  ALL’ALLEGATO</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Ai fini dell’attribuzione del punteggio per le domande di trasferimento,  per le domande di passaggio di ruolo e per l’individuazione del perdente posto si precisa quanto segue: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nell’anzianità di servizio  non si   tiene conto dell’anno scolastico in corso;</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nella valutazione dei titoli  vengono considerati quelli posseduti  entro il termine previsto per la presentazione della domanda;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nella  valutazione delle esigenze di famiglia   (per i trasferimento a domanda e d’ufficio)</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è necessario che queste sussistano   alla data della presentazione della  domanda. Soltanto nel   caso dei figli   si considerano quelli che compiono i sei anni o i diciotto anni entro il 31 dicembre dell’anno in cui si effettua il trasferimento</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D.L.vo n.297/94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gli insegnanti di educazione fisica non é riconoscibile il servizio prestato senza il possesso del diploma rilasciato dall'I.S.E.F. o di titoli equipollenti secondo l'ordinamento anteriore alla legge 7.2.1958, n. 88 (tab. A, classe </w:t>
      </w:r>
      <w:r w:rsidDel="00000000" w:rsidR="00000000" w:rsidRPr="00000000">
        <w:rPr>
          <w:rFonts w:ascii="Times New Roman" w:cs="Times New Roman" w:eastAsia="Times New Roman" w:hAnsi="Times New Roman"/>
          <w:b w:val="0"/>
          <w:i w:val="0"/>
          <w:smallCaps w:val="1"/>
          <w:strike w:val="0"/>
          <w:color w:val="000000"/>
          <w:sz w:val="18"/>
          <w:szCs w:val="18"/>
          <w:u w:val="none"/>
          <w:shd w:fill="auto" w:val="clear"/>
          <w:vertAlign w:val="baseline"/>
          <w:rtl w:val="0"/>
        </w:rPr>
        <w:t xml:space="preserve">XXIX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D.M. 24.11.94 n. 334 e successive modifiche).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valutazione del servizio pre-ruolo viene effettuata nella seguente maniera:  - i primi 4 anni sono valutati per intero   - il periodo eccedente i 4 anni é valutato per i 2/3 (due terzi).   Pertanto,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primi 4 anni  (valutati per intero)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4 anni  x 3 punti  = 12 punti</w:t>
      </w:r>
    </w:p>
    <w:p w:rsidR="00000000" w:rsidDel="00000000" w:rsidP="00000000" w:rsidRDefault="00000000" w:rsidRPr="00000000" w14:paraId="000000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rimanenti  2 anni (valutati due terzi)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2/3 x 2 anni x 3 punti  =  4  punti</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w:t>
      </w:r>
    </w:p>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12 punti  + 4 punti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16 punti.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preruolo, il punteggio derivante da 4 anni di preruolo vale 12 punti, mentre quello derivante da 8 anni ( che corrispondono a 4 anni valutati il doppio) assomma a 20 punti e non a 24.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 </w:t>
      </w:r>
    </w:p>
    <w:p w:rsidR="00000000" w:rsidDel="00000000" w:rsidP="00000000" w:rsidRDefault="00000000" w:rsidRPr="00000000" w14:paraId="000000A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000000" w:rsidDel="00000000" w:rsidP="00000000" w:rsidRDefault="00000000" w:rsidRPr="00000000" w14:paraId="000000A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Relativamente  ai  docenti delle scuole elementari, per ogni anno  di insegnamento in scuola unica o di montagna ai sensi della  legge  1/3/1957,  n. 90, il punteggio é raddoppiato. Per  l'attribuzione del punteggio si prescinde dal requisito della residenza in sede.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  valutato  nella  misura  prevista dalla presente voce il servizio prestato, a decorrere dall'anno scolastico 1978/79, dalle  assistenti  di  scuola materna statale utilizzate, ai sensi dell'articolo 8 della legge n. 463/78, come insegnanti di scuola materna.</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ogni  anno  di  servizio  prestato  nei paesi in via di sviluppo il punteggio é raddoppiato.</w:t>
      </w:r>
    </w:p>
    <w:p w:rsidR="00000000" w:rsidDel="00000000" w:rsidP="00000000" w:rsidRDefault="00000000" w:rsidRPr="00000000" w14:paraId="000000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dizione  ‘piccole isole’ comprensiva di tutte le isole  del  territorio  italiano,  ad eccezione, ovviamente, delle due isole maggiori (Sicilia e Sardegna).</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  valutata nella misura prevista dalla presente voce, l'anzianità  derivante da decorrenza giuridica della nomina anteriore   alla  decorrenza  economica,  se  non  é  stato prestato  alcun  servizio  o  se  il  servizio  non é stato prestato nel ruolo di appartenenza.</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Nella  stessa misura é valutato anche il servizio pre-ruolo prestato per almeno 180 giorni, nei limiti previsti dagli artt. 485, 490 del D.l.vo n.297/94 ai fini della valutabilità per la carriera, nonché il servizio prestato in altro ruolo riconosciuto o riconoscibile ai fini della carriera ai sensi del  D.L.  19/6/70 n.370, convertito con modificazioni nella legge 26/7/70 n.576 e successive integrazioni, ovvero il servizio preruolo prestato senza il prescritto  titolo di specializzazione in scuole speciali o su posti di sostegno.</w:t>
      </w:r>
    </w:p>
    <w:p w:rsidR="00000000" w:rsidDel="00000000" w:rsidP="00000000" w:rsidRDefault="00000000" w:rsidRPr="00000000" w14:paraId="000000B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000000" w:rsidDel="00000000" w:rsidP="00000000" w:rsidRDefault="00000000" w:rsidRPr="00000000" w14:paraId="000000B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 </w:t>
      </w:r>
    </w:p>
    <w:p w:rsidR="00000000" w:rsidDel="00000000" w:rsidP="00000000" w:rsidRDefault="00000000" w:rsidRPr="00000000" w14:paraId="000000B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nell’a.s. 1998/99 dell’organico funzionale di circolo, per la scuola elementare, e nell’a.s. 1999/2000 per la scuola materna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 per la scuola elementare dei comuni di montagna e delle piccole isole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la scuola elementare, il trasferimento tra i posti dell’organico funzionale (comune e lingua) nello stesso circolo non interrompe la continuità di servizio</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 o diurno o serale).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 tale ultimo requisito - fermo restando quanto indicato nel successivo comma 12 - si prescinde limitatamente al solo personale beneficiario della precedenza di cui all’art. 9, titolo I, punto II), -  Personale trasferito d’ufficio nell’ultimo quinquennio – del presente contratto.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continuità didattica, legata alla scuola di ex-titolarità, del personale scolastico trasferito d’ufficio nell’ultimo quinquennio va considerata ai fini della sola domanda di trasferimento e non anche della domanda di passaggio.</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Qualora, scaduto il quinquennio in questione, il docente non abbia ottenuto il rientro nella scuola di precedente titolarità i punteggi relativi alla continuità didattica nel quinquennio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va attribuito se la scuola di titolarità giuridica  e  la  scuola  in  cui  l'interessato ha prestato servizio continuativo coincidono per il periodo considerato.</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Non  va valutato l'anno scolastico in corso al momento della presentazione della domanda.</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i  docenti  di istruzione secondaria di primo e secondo grado e artistica, il servizio deve essere altresì prestato nella classe di concorso di attuale titolarità.</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non va attribuito ai docenti titolari di sede  distrettuale (su posto per l’istruzione dell’età adulta).</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Non  va  valutato  l'anno  scolastico in corso al momento di presentazione della domanda.</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di cui alla lettera Co)  non é cumulabile per lo stesso anno scolastico con quello previsto dalla lettera C).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Il  punteggio  spetta  per  il  comune di residenza dei familiari  a condizione che essi, alla data di pubblicazione dell'ordinanza,  vi  risiedano effettivamente con iscrizione anagrafica da almeno tre mesi.</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viciniorità,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 situazioni di cui al presente titolo non si valutano per i trasferimenti nell'ambito della stessa sede.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lettera   A)   (ricongiungimento  al  coniuge ,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lettera   B)  e  lettera C)     valgono sempre; </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lettera D)  (cura  e assistenza   dei     figli minorati, etc..)  vale  quando  il comune in cui può essere prestata l’assistenza coincide con il  comune di titolarità del docente.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così calcolato  viene utilizzato anche nelle operazioni di trasferimento d’ufficio del soprannumerario.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   L’età  è  riferita al 31 dicembre dell’anno in cui si effettua  il trasferimento. Si considerano anche i figli che compiono  i  sei  anni  o  i  diciotto  entro il 31 dicembre dell’anno in cui si effettua il trasferimento.</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    La valutazione é attribuita nei seguenti casi:</w:t>
      </w:r>
    </w:p>
    <w:p w:rsidR="00000000" w:rsidDel="00000000" w:rsidP="00000000" w:rsidRDefault="00000000" w:rsidRPr="00000000" w14:paraId="000000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figlio minorato, ovvero coniuge o genitore,   ricoverati permanentemente in un istituto di cura;</w:t>
      </w:r>
    </w:p>
    <w:p w:rsidR="00000000" w:rsidDel="00000000" w:rsidP="00000000" w:rsidRDefault="00000000" w:rsidRPr="00000000" w14:paraId="000000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figlio minorato, ovvero coniuge o genitore  bisognosi di  cure continuative presso un istituto di  cura tali da comportare di necessità  la  residenza   nella sede dello istituto medesimo.</w:t>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  equiparata all'inclusione in graduatoria di merito l'inclusione  in terne di concorsi a cattedre negli   istituti di istruzione artistica.</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concorsi  a posti di personale ispettivo e dirigente scolastico sono da  considerare  di livello superiore rispetto ai concorsi a posti di insegnamento.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norma  dell'art. 16, ultimo comma, del D.L. 30.1.76, , n. 13,  convertito con modificazioni nella l. 30/3/76, n. 88 il concorso  a  cattedre  di educazione fisica , indetto con il D.M.  5/5/73  -  i  cui  atti  sono stati approvati con D.M.28/2/80  -  é  valevole  esclusivamente  per cattedre nella scuola secondaria di primo grado.</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Sono ovviamente esclusi i concorsi riservati per il conseguimento dell’abilitazione o dell’idoneità.</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Tale punteggio spetta anche per l’accesso a tutte le classi di concorso appartenenti allo stesso ambito disciplinare per il quale si è conseguita  l’idoneità in un concorso ordinario per esami e titoli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bandito in attuazione della legge 124/1999.</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sectPr>
      <w:pgSz w:h="16838" w:w="11906" w:orient="portrait"/>
      <w:pgMar w:bottom="567" w:top="851"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
      <w:lvlJc w:val="left"/>
      <w:pPr>
        <w:ind w:left="283" w:hanging="283"/>
      </w:pPr>
      <w:rPr>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4"/>
      <w:numFmt w:val="decimal"/>
      <w:lvlText w:val="(%1) "/>
      <w:lvlJc w:val="left"/>
      <w:pPr>
        <w:ind w:left="283" w:hanging="283"/>
      </w:pPr>
      <w:rPr>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5"/>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3"/>
      <w:numFmt w:val="bullet"/>
      <w:lvlText w:val="-"/>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3"/>
      <w:numFmt w:val="lowerLetter"/>
      <w:lvlText w:val="%1)"/>
      <w:lvlJc w:val="left"/>
      <w:pPr>
        <w:ind w:left="660" w:hanging="6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660" w:hanging="6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0"/>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2"/>
      <w:numFmt w:val="lowerLetter"/>
      <w:lvlText w:val="%1)"/>
      <w:lvlJc w:val="left"/>
      <w:pPr>
        <w:ind w:left="660" w:hanging="6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00" w:hanging="70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
      <w:lvlJc w:val="left"/>
      <w:pPr>
        <w:ind w:left="283" w:hanging="283"/>
      </w:pPr>
      <w:rPr>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2"/>
      <w:numFmt w:val="decimal"/>
      <w:lvlText w:val="(%1) "/>
      <w:lvlJc w:val="left"/>
      <w:pPr>
        <w:ind w:left="283" w:hanging="283"/>
      </w:pPr>
      <w:rPr>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Times New Roman" w:hAnsi="Times New Roman"/>
      <w:b w:val="1"/>
      <w:bCs w:val="1"/>
      <w:w w:val="100"/>
      <w:position w:val="-1"/>
      <w:sz w:val="18"/>
      <w:szCs w:val="18"/>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Times New Roman" w:hAnsi="Times New Roman"/>
      <w:b w:val="1"/>
      <w:bCs w:val="1"/>
      <w:w w:val="100"/>
      <w:position w:val="-1"/>
      <w:sz w:val="20"/>
      <w:szCs w:val="20"/>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Titolo1Carattere">
    <w:name w:val="Titolo 1 Carattere"/>
    <w:next w:val="Titolo1Carattere"/>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Titolo2Carattere">
    <w:name w:val="Titolo 2 Carattere"/>
    <w:next w:val="Titolo2Carattere"/>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Indice6">
    <w:name w:val="Indice 6"/>
    <w:basedOn w:val="Normale"/>
    <w:next w:val="Normale"/>
    <w:autoRedefine w:val="0"/>
    <w:hidden w:val="0"/>
    <w:qFormat w:val="0"/>
    <w:pPr>
      <w:widowControl w:val="0"/>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rFonts w:ascii="Times New Roman" w:hAnsi="Times New Roman"/>
      <w:w w:val="100"/>
      <w:position w:val="-1"/>
      <w:sz w:val="22"/>
      <w:szCs w:val="22"/>
      <w:effect w:val="none"/>
      <w:vertAlign w:val="baseline"/>
      <w:cs w:val="0"/>
      <w:em w:val="none"/>
      <w:lang w:bidi="ar-SA" w:eastAsia="it-IT" w:val="it-IT"/>
    </w:rPr>
  </w:style>
  <w:style w:type="paragraph" w:styleId="BodyText24">
    <w:name w:val="Body Text 24"/>
    <w:basedOn w:val="Normale"/>
    <w:next w:val="BodyText24"/>
    <w:autoRedefine w:val="0"/>
    <w:hidden w:val="0"/>
    <w:qFormat w:val="0"/>
    <w:pPr>
      <w:widowControl w:val="0"/>
      <w:tabs>
        <w:tab w:val="left" w:leader="none" w:pos="360"/>
      </w:tabs>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rFonts w:ascii="Times New Roman" w:hAnsi="Times New Roman"/>
      <w:w w:val="100"/>
      <w:position w:val="-1"/>
      <w:sz w:val="22"/>
      <w:szCs w:val="22"/>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hAnsi="Times New Roman"/>
      <w:w w:val="100"/>
      <w:position w:val="-1"/>
      <w:sz w:val="18"/>
      <w:szCs w:val="18"/>
      <w:effect w:val="none"/>
      <w:vertAlign w:val="baseline"/>
      <w:cs w:val="0"/>
      <w:em w:val="none"/>
      <w:lang w:bidi="ar-SA" w:eastAsia="it-IT" w:val="it-IT"/>
    </w:rPr>
  </w:style>
  <w:style w:type="character" w:styleId="Corpodeltesto2Carattere">
    <w:name w:val="Corpo del testo 2 Carattere"/>
    <w:next w:val="Corpodeltesto2Carattere"/>
    <w:autoRedefine w:val="0"/>
    <w:hidden w:val="0"/>
    <w:qFormat w:val="0"/>
    <w:rPr>
      <w:rFonts w:ascii="Times New Roman" w:cs="Times New Roman" w:hAnsi="Times New Roman"/>
      <w:w w:val="100"/>
      <w:position w:val="-1"/>
      <w:sz w:val="24"/>
      <w:szCs w:val="24"/>
      <w:effect w:val="none"/>
      <w:vertAlign w:val="baseline"/>
      <w:cs w:val="0"/>
      <w:em w:val="none"/>
      <w:lang/>
    </w:rPr>
  </w:style>
  <w:style w:type="paragraph" w:styleId="Corpotesto">
    <w:name w:val="Corpo testo"/>
    <w:basedOn w:val="Normale"/>
    <w:next w:val="Corpotesto"/>
    <w:autoRedefine w:val="0"/>
    <w:hidden w:val="0"/>
    <w:qFormat w:val="0"/>
    <w:pPr>
      <w:suppressAutoHyphens w:val="1"/>
      <w:overflowPunct w:val="0"/>
      <w:autoSpaceDE w:val="0"/>
      <w:autoSpaceDN w:val="0"/>
      <w:adjustRightInd w:val="0"/>
      <w:spacing w:line="1" w:lineRule="atLeast"/>
      <w:ind w:right="567" w:leftChars="-1" w:rightChars="0" w:firstLineChars="-1"/>
      <w:jc w:val="both"/>
      <w:textDirection w:val="btLr"/>
      <w:textAlignment w:val="baseline"/>
      <w:outlineLvl w:val="0"/>
    </w:pPr>
    <w:rPr>
      <w:rFonts w:ascii="Times New Roman" w:hAnsi="Times New Roman"/>
      <w:w w:val="100"/>
      <w:position w:val="-1"/>
      <w:sz w:val="18"/>
      <w:szCs w:val="18"/>
      <w:effect w:val="none"/>
      <w:vertAlign w:val="baseline"/>
      <w:cs w:val="0"/>
      <w:em w:val="none"/>
      <w:lang w:bidi="ar-SA" w:eastAsia="it-IT" w:val="it-IT"/>
    </w:rPr>
  </w:style>
  <w:style w:type="character" w:styleId="CorpotestoCarattere">
    <w:name w:val="Corpo testo Carattere"/>
    <w:next w:val="CorpotestoCarattere"/>
    <w:autoRedefine w:val="0"/>
    <w:hidden w:val="0"/>
    <w:qFormat w:val="0"/>
    <w:rPr>
      <w:rFonts w:ascii="Times New Roman" w:cs="Times New Roman" w:hAnsi="Times New Roman"/>
      <w:w w:val="100"/>
      <w:position w:val="-1"/>
      <w:sz w:val="24"/>
      <w:szCs w:val="24"/>
      <w:effect w:val="none"/>
      <w:vertAlign w:val="baseline"/>
      <w:cs w:val="0"/>
      <w:em w:val="none"/>
      <w:lang/>
    </w:rPr>
  </w:style>
  <w:style w:type="paragraph" w:styleId="testo1">
    <w:name w:val="testo1"/>
    <w:basedOn w:val="Normale"/>
    <w:next w:val="testo1"/>
    <w:autoRedefine w:val="0"/>
    <w:hidden w:val="0"/>
    <w:qFormat w:val="0"/>
    <w:pPr>
      <w:widowControl w:val="0"/>
      <w:suppressAutoHyphens w:val="1"/>
      <w:overflowPunct w:val="0"/>
      <w:autoSpaceDE w:val="0"/>
      <w:autoSpaceDN w:val="0"/>
      <w:adjustRightInd w:val="0"/>
      <w:spacing w:line="1" w:lineRule="atLeast"/>
      <w:ind w:left="567" w:leftChars="-1" w:rightChars="0" w:firstLineChars="-1"/>
      <w:jc w:val="both"/>
      <w:textDirection w:val="btLr"/>
      <w:textAlignment w:val="baseline"/>
      <w:outlineLvl w:val="0"/>
    </w:pPr>
    <w:rPr>
      <w:rFonts w:ascii="Times New Roman" w:hAnsi="Times New Roman"/>
      <w:w w:val="100"/>
      <w:position w:val="-1"/>
      <w:sz w:val="20"/>
      <w:szCs w:val="20"/>
      <w:effect w:val="none"/>
      <w:vertAlign w:val="baseline"/>
      <w:cs w:val="0"/>
      <w:em w:val="none"/>
      <w:lang w:bidi="ar-SA" w:eastAsia="it-IT" w:val="it-IT"/>
    </w:rPr>
  </w:style>
  <w:style w:type="paragraph" w:styleId="Corpodeltesto3">
    <w:name w:val="Corpo del testo 3"/>
    <w:basedOn w:val="Normale"/>
    <w:next w:val="Corpodeltesto3"/>
    <w:autoRedefine w:val="0"/>
    <w:hidden w:val="0"/>
    <w:qFormat w:val="0"/>
    <w:pPr>
      <w:widowControl w:val="0"/>
      <w:suppressAutoHyphens w:val="1"/>
      <w:overflowPunct w:val="0"/>
      <w:autoSpaceDE w:val="0"/>
      <w:autoSpaceDN w:val="0"/>
      <w:adjustRightInd w:val="0"/>
      <w:spacing w:line="1" w:lineRule="atLeast"/>
      <w:ind w:right="84" w:leftChars="-1" w:rightChars="0" w:firstLineChars="-1"/>
      <w:jc w:val="both"/>
      <w:textDirection w:val="btLr"/>
      <w:textAlignment w:val="baseline"/>
      <w:outlineLvl w:val="0"/>
    </w:pPr>
    <w:rPr>
      <w:rFonts w:ascii="Times New Roman" w:hAnsi="Times New Roman"/>
      <w:w w:val="100"/>
      <w:position w:val="-1"/>
      <w:sz w:val="22"/>
      <w:szCs w:val="22"/>
      <w:effect w:val="none"/>
      <w:vertAlign w:val="baseline"/>
      <w:cs w:val="0"/>
      <w:em w:val="none"/>
      <w:lang w:bidi="ar-SA" w:eastAsia="it-IT" w:val="it-IT"/>
    </w:rPr>
  </w:style>
  <w:style w:type="character" w:styleId="Corpodeltesto3Carattere">
    <w:name w:val="Corpo del testo 3 Carattere"/>
    <w:next w:val="Corpodeltesto3Carattere"/>
    <w:autoRedefine w:val="0"/>
    <w:hidden w:val="0"/>
    <w:qFormat w:val="0"/>
    <w:rPr>
      <w:rFonts w:ascii="Times New Roman" w:cs="Times New Roman" w:hAnsi="Times New Roman"/>
      <w:w w:val="100"/>
      <w:position w:val="-1"/>
      <w:sz w:val="16"/>
      <w:szCs w:val="16"/>
      <w:effect w:val="none"/>
      <w:vertAlign w:val="baseline"/>
      <w:cs w:val="0"/>
      <w:em w:val="none"/>
      <w:lang/>
    </w:rPr>
  </w:style>
  <w:style w:type="paragraph" w:styleId="BodyText32">
    <w:name w:val="Body Text 32"/>
    <w:basedOn w:val="Normale"/>
    <w:next w:val="BodyText32"/>
    <w:autoRedefine w:val="0"/>
    <w:hidden w:val="0"/>
    <w:qFormat w:val="0"/>
    <w:pPr>
      <w:widowControl w:val="0"/>
      <w:suppressAutoHyphens w:val="1"/>
      <w:overflowPunct w:val="0"/>
      <w:autoSpaceDE w:val="0"/>
      <w:autoSpaceDN w:val="0"/>
      <w:adjustRightInd w:val="0"/>
      <w:spacing w:line="1" w:lineRule="atLeast"/>
      <w:ind w:right="84" w:leftChars="-1" w:rightChars="0" w:firstLineChars="-1"/>
      <w:jc w:val="both"/>
      <w:textDirection w:val="btLr"/>
      <w:textAlignment w:val="baseline"/>
      <w:outlineLvl w:val="0"/>
    </w:pPr>
    <w:rPr>
      <w:rFonts w:ascii="Times New Roman" w:hAnsi="Times New Roman"/>
      <w:w w:val="100"/>
      <w:position w:val="-1"/>
      <w:sz w:val="20"/>
      <w:szCs w:val="20"/>
      <w:effect w:val="none"/>
      <w:vertAlign w:val="baseline"/>
      <w:cs w:val="0"/>
      <w:em w:val="none"/>
      <w:lang w:bidi="ar-SA" w:eastAsia="it-IT" w:val="it-IT"/>
    </w:rPr>
  </w:style>
  <w:style w:type="paragraph" w:styleId="Titolo">
    <w:name w:val="Titolo"/>
    <w:basedOn w:val="Normale"/>
    <w:next w:val="Titolo"/>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bCs w:val="1"/>
      <w:w w:val="100"/>
      <w:position w:val="-1"/>
      <w:sz w:val="22"/>
      <w:szCs w:val="22"/>
      <w:effect w:val="none"/>
      <w:vertAlign w:val="baseline"/>
      <w:cs w:val="0"/>
      <w:em w:val="none"/>
      <w:lang w:bidi="ar-SA" w:eastAsia="it-IT" w:val="it-IT"/>
    </w:rPr>
  </w:style>
  <w:style w:type="character" w:styleId="TitoloCarattere">
    <w:name w:val="Titolo Carattere"/>
    <w:next w:val="TitoloCarattere"/>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rPr>
  </w:style>
  <w:style w:type="paragraph" w:styleId="Testofumetto">
    <w:name w:val="Testo fumetto"/>
    <w:basedOn w:val="Normale"/>
    <w:next w:val="Testofumetto"/>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6sVHh9iQRhOiQX/cMOokNXHEA==">CgMxLjAyCGguZ2pkZ3hzMgloLjMwajB6bGw4AHIhMVo0QmZQMUt2bzNnWldxRHZLTE5mWE5EWDhtRzFvUXBM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2024-02-27T15:37:00Z</dcterms:created>
  <dc:creator>UFFICIO SCOLASTICO DI MILANO</dc:creator>
</cp:coreProperties>
</file>